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0EDFD" w14:textId="1F8D002E" w:rsidR="00716B3C" w:rsidRPr="00FF75CE" w:rsidRDefault="006B62FD" w:rsidP="006B62FD">
      <w:r>
        <w:rPr>
          <w:b/>
          <w:noProof/>
          <w:color w:val="244061" w:themeColor="accent1" w:themeShade="80"/>
          <w:sz w:val="32"/>
          <w:szCs w:val="32"/>
          <w:lang w:eastAsia="en-GB"/>
        </w:rPr>
        <w:drawing>
          <wp:inline distT="0" distB="0" distL="0" distR="0" wp14:anchorId="7F4C9A82" wp14:editId="38D0571A">
            <wp:extent cx="933450" cy="1000721"/>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040" b="9614"/>
                    <a:stretch/>
                  </pic:blipFill>
                  <pic:spPr bwMode="auto">
                    <a:xfrm>
                      <a:off x="0" y="0"/>
                      <a:ext cx="936228" cy="1003699"/>
                    </a:xfrm>
                    <a:prstGeom prst="rect">
                      <a:avLst/>
                    </a:prstGeom>
                    <a:noFill/>
                    <a:ln>
                      <a:noFill/>
                    </a:ln>
                    <a:extLst>
                      <a:ext uri="{53640926-AAD7-44D8-BBD7-CCE9431645EC}">
                        <a14:shadowObscured xmlns:a14="http://schemas.microsoft.com/office/drawing/2010/main"/>
                      </a:ext>
                    </a:extLst>
                  </pic:spPr>
                </pic:pic>
              </a:graphicData>
            </a:graphic>
          </wp:inline>
        </w:drawing>
      </w:r>
      <w:r>
        <w:rPr>
          <w:b/>
          <w:sz w:val="32"/>
          <w:szCs w:val="32"/>
        </w:rPr>
        <w:t xml:space="preserve">                                                               </w:t>
      </w:r>
      <w:r w:rsidR="00FF75CE">
        <w:rPr>
          <w:b/>
          <w:sz w:val="32"/>
          <w:szCs w:val="32"/>
        </w:rPr>
        <w:t xml:space="preserve">      </w:t>
      </w:r>
      <w:r>
        <w:rPr>
          <w:b/>
          <w:sz w:val="32"/>
          <w:szCs w:val="32"/>
        </w:rPr>
        <w:t>King David Primary School</w:t>
      </w:r>
    </w:p>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716B3C">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75547D2B"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w:t>
            </w:r>
            <w:r w:rsidRPr="00716B3C">
              <w:rPr>
                <w:rFonts w:asciiTheme="minorHAnsi" w:hAnsiTheme="minorHAnsi" w:cstheme="minorHAnsi"/>
                <w:sz w:val="22"/>
                <w:szCs w:val="22"/>
              </w:rPr>
              <w:t xml:space="preserve">processes </w:t>
            </w:r>
            <w:r w:rsidR="00C96CB7" w:rsidRPr="00716B3C">
              <w:rPr>
                <w:rFonts w:asciiTheme="minorHAnsi" w:hAnsiTheme="minorHAnsi" w:cstheme="minorHAnsi"/>
                <w:sz w:val="22"/>
                <w:szCs w:val="22"/>
              </w:rPr>
              <w:t xml:space="preserve">of </w:t>
            </w:r>
            <w:r w:rsidR="006B62FD">
              <w:rPr>
                <w:rFonts w:asciiTheme="minorHAnsi" w:hAnsiTheme="minorHAnsi" w:cstheme="minorHAnsi"/>
                <w:sz w:val="22"/>
                <w:szCs w:val="22"/>
              </w:rPr>
              <w:t>King David Primary School</w:t>
            </w:r>
            <w:r w:rsidRPr="00716B3C">
              <w:rPr>
                <w:rFonts w:asciiTheme="minorHAnsi" w:hAnsiTheme="minorHAnsi" w:cstheme="minorHAnsi"/>
                <w:sz w:val="22"/>
                <w:szCs w:val="22"/>
              </w:rPr>
              <w:t xml:space="preserve"> and in connection </w:t>
            </w:r>
            <w:r w:rsidRPr="00FE4C41">
              <w:rPr>
                <w:rFonts w:asciiTheme="minorHAnsi" w:hAnsiTheme="minorHAnsi" w:cstheme="minorHAnsi"/>
                <w:color w:val="231F20"/>
                <w:sz w:val="22"/>
                <w:szCs w:val="22"/>
              </w:rPr>
              <w:t>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13DBA245"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6B62FD">
              <w:rPr>
                <w:rFonts w:asciiTheme="minorHAnsi" w:hAnsiTheme="minorHAnsi" w:cstheme="minorHAnsi"/>
                <w:sz w:val="22"/>
                <w:szCs w:val="22"/>
              </w:rPr>
              <w:t>King David Primary School</w:t>
            </w:r>
            <w:r w:rsidR="00716B3C" w:rsidRPr="00716B3C">
              <w:rPr>
                <w:rFonts w:asciiTheme="minorHAnsi" w:hAnsiTheme="minorHAnsi" w:cstheme="minorHAnsi"/>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7D07F7A2"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6B62FD">
              <w:rPr>
                <w:rFonts w:asciiTheme="minorHAnsi" w:hAnsiTheme="minorHAnsi" w:cstheme="minorHAnsi"/>
                <w:sz w:val="22"/>
                <w:szCs w:val="22"/>
              </w:rPr>
              <w:t>King David Primary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5785D066"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6B62FD">
              <w:rPr>
                <w:rFonts w:asciiTheme="minorHAnsi" w:hAnsiTheme="minorHAnsi" w:cstheme="minorHAnsi"/>
                <w:sz w:val="22"/>
                <w:szCs w:val="22"/>
              </w:rPr>
              <w:t>King David Primary School</w:t>
            </w:r>
            <w:r w:rsidR="00716B3C">
              <w:rPr>
                <w:rFonts w:asciiTheme="minorHAnsi" w:hAnsiTheme="minorHAnsi" w:cstheme="minorHAnsi"/>
                <w:sz w:val="22"/>
                <w:szCs w:val="22"/>
              </w:rPr>
              <w:t>.</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55361FCD" w:rsidR="00464306" w:rsidRPr="00FE4C41" w:rsidRDefault="006B62FD" w:rsidP="00464306">
            <w:pPr>
              <w:pStyle w:val="NormalWeb"/>
              <w:shd w:val="clear" w:color="auto" w:fill="FFFFFF"/>
              <w:spacing w:before="0" w:beforeAutospacing="0" w:after="0" w:afterAutospacing="0"/>
              <w:rPr>
                <w:rFonts w:asciiTheme="minorHAnsi" w:hAnsiTheme="minorHAnsi" w:cstheme="minorHAnsi"/>
                <w:color w:val="231F20"/>
                <w:sz w:val="22"/>
                <w:szCs w:val="22"/>
              </w:rPr>
            </w:pPr>
            <w:r>
              <w:rPr>
                <w:rFonts w:asciiTheme="minorHAnsi" w:hAnsiTheme="minorHAnsi" w:cstheme="minorHAnsi"/>
                <w:sz w:val="22"/>
                <w:szCs w:val="22"/>
              </w:rPr>
              <w:t>King David Primary School</w:t>
            </w:r>
            <w:r w:rsidR="00FF75CE" w:rsidRPr="00716B3C">
              <w:rPr>
                <w:rFonts w:asciiTheme="minorHAnsi" w:hAnsiTheme="minorHAnsi" w:cstheme="minorHAnsi"/>
                <w:sz w:val="22"/>
                <w:szCs w:val="22"/>
              </w:rPr>
              <w:t xml:space="preserve"> </w:t>
            </w:r>
            <w:r w:rsidR="00464306" w:rsidRPr="00FE4C41">
              <w:rPr>
                <w:rFonts w:asciiTheme="minorHAnsi" w:hAnsiTheme="minorHAnsi" w:cstheme="minorHAnsi"/>
                <w:color w:val="231F20"/>
                <w:sz w:val="22"/>
                <w:szCs w:val="22"/>
              </w:rPr>
              <w:t>is an equal</w:t>
            </w:r>
            <w:r w:rsidR="00FE4C41" w:rsidRPr="00FE4C41">
              <w:rPr>
                <w:rFonts w:asciiTheme="minorHAnsi" w:hAnsiTheme="minorHAnsi" w:cstheme="minorHAnsi"/>
                <w:color w:val="231F20"/>
                <w:sz w:val="22"/>
                <w:szCs w:val="22"/>
              </w:rPr>
              <w:t xml:space="preserve"> </w:t>
            </w:r>
            <w:r w:rsidR="00464306"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00464306"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00464306"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00464306"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00464306"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9"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0"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1"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2"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3"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DDF14D3"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3EC44C" w14:textId="77777777" w:rsidR="00FF04A7" w:rsidRPr="006B62FD" w:rsidRDefault="00FF04A7" w:rsidP="000755A0">
            <w:pPr>
              <w:pStyle w:val="1bodycopy"/>
              <w:spacing w:after="0"/>
              <w:rPr>
                <w:rFonts w:asciiTheme="minorHAnsi" w:hAnsiTheme="minorHAnsi" w:cstheme="minorHAnsi"/>
                <w:b/>
                <w:sz w:val="24"/>
                <w:u w:val="single"/>
              </w:rPr>
            </w:pPr>
            <w:r w:rsidRPr="006B62FD">
              <w:rPr>
                <w:rFonts w:asciiTheme="minorHAnsi" w:hAnsiTheme="minorHAnsi" w:cstheme="minorHAnsi"/>
                <w:b/>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6B62FD">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A763F8" w:rsidP="00926195">
            <w:pPr>
              <w:spacing w:before="120" w:line="240" w:lineRule="auto"/>
              <w:rPr>
                <w:b/>
              </w:rPr>
            </w:pPr>
            <w:hyperlink r:id="rId15"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69BDF3B"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6F2CA449" w14:textId="437454D1" w:rsidR="00FF75CE" w:rsidRDefault="00BF20DB" w:rsidP="00FF75CE">
            <w:pPr>
              <w:rPr>
                <w:b/>
              </w:rPr>
            </w:pPr>
            <w:r>
              <w:rPr>
                <w:b/>
              </w:rPr>
              <w:br w:type="page"/>
            </w:r>
            <w:r w:rsidR="006B62FD">
              <w:rPr>
                <w:b/>
                <w:noProof/>
                <w:color w:val="244061" w:themeColor="accent1" w:themeShade="80"/>
                <w:sz w:val="32"/>
                <w:szCs w:val="32"/>
                <w:lang w:eastAsia="en-GB"/>
              </w:rPr>
              <w:drawing>
                <wp:inline distT="0" distB="0" distL="0" distR="0" wp14:anchorId="60E6AF17" wp14:editId="0CD7E50B">
                  <wp:extent cx="933450" cy="1000721"/>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040" b="9614"/>
                          <a:stretch/>
                        </pic:blipFill>
                        <pic:spPr bwMode="auto">
                          <a:xfrm>
                            <a:off x="0" y="0"/>
                            <a:ext cx="936228" cy="1003699"/>
                          </a:xfrm>
                          <a:prstGeom prst="rect">
                            <a:avLst/>
                          </a:prstGeom>
                          <a:noFill/>
                          <a:ln>
                            <a:noFill/>
                          </a:ln>
                          <a:extLst>
                            <a:ext uri="{53640926-AAD7-44D8-BBD7-CCE9431645EC}">
                              <a14:shadowObscured xmlns:a14="http://schemas.microsoft.com/office/drawing/2010/main"/>
                            </a:ext>
                          </a:extLst>
                        </pic:spPr>
                      </pic:pic>
                    </a:graphicData>
                  </a:graphic>
                </wp:inline>
              </w:drawing>
            </w:r>
            <w:r w:rsidR="00FF75CE">
              <w:rPr>
                <w:b/>
              </w:rPr>
              <w:t xml:space="preserve">         </w:t>
            </w:r>
          </w:p>
          <w:p w14:paraId="5DF7458A" w14:textId="1EA7693A" w:rsidR="00943061" w:rsidRPr="00943061" w:rsidRDefault="00FF75CE" w:rsidP="00FF75CE">
            <w:pPr>
              <w:rPr>
                <w:b/>
                <w:color w:val="FF0000"/>
              </w:rPr>
            </w:pPr>
            <w:r>
              <w:rPr>
                <w:b/>
              </w:rPr>
              <w:t xml:space="preserve">                                                               </w:t>
            </w:r>
          </w:p>
        </w:tc>
        <w:tc>
          <w:tcPr>
            <w:tcW w:w="3184" w:type="dxa"/>
            <w:gridSpan w:val="3"/>
          </w:tcPr>
          <w:p w14:paraId="0D8611C6" w14:textId="088044CA" w:rsidR="00967434" w:rsidRDefault="00967434" w:rsidP="00FF75CE">
            <w:pPr>
              <w:rPr>
                <w:b/>
              </w:rPr>
            </w:pPr>
          </w:p>
        </w:tc>
        <w:tc>
          <w:tcPr>
            <w:tcW w:w="3798" w:type="dxa"/>
            <w:gridSpan w:val="4"/>
          </w:tcPr>
          <w:p w14:paraId="6B648D3A" w14:textId="78D4CE7A" w:rsidR="00BF20DB" w:rsidRDefault="00BF20DB">
            <w:pPr>
              <w:rPr>
                <w:b/>
              </w:rPr>
            </w:pP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716B3C">
            <w:pPr>
              <w:rPr>
                <w:b/>
                <w:sz w:val="18"/>
                <w:szCs w:val="18"/>
              </w:rPr>
            </w:pPr>
          </w:p>
          <w:p w14:paraId="5206CCB3" w14:textId="77777777" w:rsidR="00967434" w:rsidRPr="008E1028" w:rsidRDefault="00967434" w:rsidP="00716B3C">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716B3C">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716B3C">
            <w:pPr>
              <w:rPr>
                <w:b/>
              </w:rPr>
            </w:pPr>
            <w:r w:rsidRPr="00140A3E">
              <w:rPr>
                <w:b/>
              </w:rPr>
              <w:t xml:space="preserve">Job </w:t>
            </w:r>
            <w:r w:rsidR="008B6D8B">
              <w:rPr>
                <w:b/>
              </w:rPr>
              <w:t xml:space="preserve">Applied for: </w:t>
            </w:r>
          </w:p>
          <w:p w14:paraId="27172F6C" w14:textId="77777777" w:rsidR="000B1261" w:rsidRPr="00140A3E" w:rsidRDefault="000B1261" w:rsidP="00716B3C">
            <w:pPr>
              <w:rPr>
                <w:b/>
              </w:rPr>
            </w:pPr>
          </w:p>
        </w:tc>
        <w:tc>
          <w:tcPr>
            <w:tcW w:w="4400" w:type="dxa"/>
            <w:gridSpan w:val="2"/>
          </w:tcPr>
          <w:p w14:paraId="3F831601" w14:textId="77777777" w:rsidR="000B1261" w:rsidRDefault="000B1261" w:rsidP="00716B3C">
            <w:pPr>
              <w:rPr>
                <w:b/>
              </w:rPr>
            </w:pPr>
          </w:p>
          <w:p w14:paraId="22F0010D" w14:textId="77777777" w:rsidR="000B1261" w:rsidRDefault="000B1261" w:rsidP="00716B3C">
            <w:pPr>
              <w:rPr>
                <w:b/>
              </w:rPr>
            </w:pPr>
          </w:p>
          <w:p w14:paraId="6C651DA5" w14:textId="77777777" w:rsidR="000B1261" w:rsidRPr="00140A3E" w:rsidRDefault="000B1261" w:rsidP="00716B3C">
            <w:pPr>
              <w:rPr>
                <w:b/>
              </w:rPr>
            </w:pPr>
          </w:p>
        </w:tc>
        <w:tc>
          <w:tcPr>
            <w:tcW w:w="1134" w:type="dxa"/>
            <w:gridSpan w:val="2"/>
          </w:tcPr>
          <w:p w14:paraId="7E2F3F8B" w14:textId="77777777" w:rsidR="000B1261" w:rsidRPr="00140A3E" w:rsidRDefault="000B1261" w:rsidP="00716B3C">
            <w:pPr>
              <w:rPr>
                <w:b/>
              </w:rPr>
            </w:pPr>
            <w:r w:rsidRPr="00140A3E">
              <w:rPr>
                <w:b/>
              </w:rPr>
              <w:t>Job Ref</w:t>
            </w:r>
          </w:p>
          <w:p w14:paraId="75A5BA65" w14:textId="77777777" w:rsidR="000B1261" w:rsidRPr="00140A3E" w:rsidRDefault="000B1261" w:rsidP="00716B3C">
            <w:pPr>
              <w:rPr>
                <w:b/>
              </w:rPr>
            </w:pPr>
            <w:r w:rsidRPr="00140A3E">
              <w:rPr>
                <w:b/>
              </w:rPr>
              <w:t>Number:</w:t>
            </w:r>
          </w:p>
        </w:tc>
        <w:tc>
          <w:tcPr>
            <w:tcW w:w="3005" w:type="dxa"/>
          </w:tcPr>
          <w:p w14:paraId="71EC9B1E" w14:textId="77777777" w:rsidR="000B1261" w:rsidRPr="00140A3E" w:rsidRDefault="000B1261" w:rsidP="00716B3C">
            <w:pPr>
              <w:rPr>
                <w:b/>
              </w:rPr>
            </w:pPr>
          </w:p>
        </w:tc>
      </w:tr>
      <w:tr w:rsidR="000B1261" w:rsidRPr="00140A3E" w14:paraId="7257C035" w14:textId="77777777" w:rsidTr="00BA686B">
        <w:tc>
          <w:tcPr>
            <w:tcW w:w="1662" w:type="dxa"/>
          </w:tcPr>
          <w:p w14:paraId="4B7B3B3B" w14:textId="77777777" w:rsidR="000B1261" w:rsidRPr="00140A3E" w:rsidRDefault="000B1261" w:rsidP="00716B3C">
            <w:pPr>
              <w:rPr>
                <w:b/>
              </w:rPr>
            </w:pPr>
            <w:r w:rsidRPr="00140A3E">
              <w:rPr>
                <w:b/>
              </w:rPr>
              <w:t>Closing Date:</w:t>
            </w:r>
          </w:p>
          <w:p w14:paraId="519C3015" w14:textId="77777777" w:rsidR="000B1261" w:rsidRPr="00140A3E" w:rsidRDefault="000B1261" w:rsidP="00716B3C">
            <w:pPr>
              <w:rPr>
                <w:b/>
              </w:rPr>
            </w:pPr>
          </w:p>
        </w:tc>
        <w:tc>
          <w:tcPr>
            <w:tcW w:w="1971" w:type="dxa"/>
          </w:tcPr>
          <w:p w14:paraId="6FED73D0" w14:textId="77777777" w:rsidR="000B1261" w:rsidRDefault="000B1261" w:rsidP="00716B3C">
            <w:pPr>
              <w:rPr>
                <w:b/>
              </w:rPr>
            </w:pPr>
          </w:p>
          <w:p w14:paraId="0380D8C5" w14:textId="77777777" w:rsidR="000B1261" w:rsidRDefault="000B1261" w:rsidP="00716B3C">
            <w:pPr>
              <w:rPr>
                <w:b/>
              </w:rPr>
            </w:pPr>
          </w:p>
          <w:p w14:paraId="0108A7C1" w14:textId="77777777" w:rsidR="000B1261" w:rsidRPr="00140A3E" w:rsidRDefault="000B1261" w:rsidP="00716B3C">
            <w:pPr>
              <w:rPr>
                <w:b/>
              </w:rPr>
            </w:pPr>
          </w:p>
        </w:tc>
        <w:tc>
          <w:tcPr>
            <w:tcW w:w="3138" w:type="dxa"/>
            <w:gridSpan w:val="2"/>
          </w:tcPr>
          <w:p w14:paraId="441854B4" w14:textId="77777777" w:rsidR="000B1261" w:rsidRPr="00140A3E" w:rsidRDefault="000B1261" w:rsidP="00716B3C">
            <w:pPr>
              <w:rPr>
                <w:b/>
              </w:rPr>
            </w:pPr>
            <w:r w:rsidRPr="00140A3E">
              <w:rPr>
                <w:b/>
              </w:rPr>
              <w:t>Please state where you saw this</w:t>
            </w:r>
          </w:p>
          <w:p w14:paraId="74766311" w14:textId="77777777" w:rsidR="000B1261" w:rsidRPr="00140A3E" w:rsidRDefault="000B1261" w:rsidP="00716B3C">
            <w:pPr>
              <w:rPr>
                <w:b/>
              </w:rPr>
            </w:pPr>
            <w:r w:rsidRPr="00140A3E">
              <w:rPr>
                <w:b/>
              </w:rPr>
              <w:t>post advertised:</w:t>
            </w:r>
          </w:p>
        </w:tc>
        <w:tc>
          <w:tcPr>
            <w:tcW w:w="3430" w:type="dxa"/>
            <w:gridSpan w:val="2"/>
          </w:tcPr>
          <w:p w14:paraId="7CC37B22" w14:textId="77777777" w:rsidR="000B1261" w:rsidRPr="00140A3E" w:rsidRDefault="000B1261" w:rsidP="00716B3C">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716B3C">
        <w:tc>
          <w:tcPr>
            <w:tcW w:w="10194" w:type="dxa"/>
            <w:gridSpan w:val="6"/>
            <w:shd w:val="pct20" w:color="auto" w:fill="auto"/>
          </w:tcPr>
          <w:p w14:paraId="72E7A743" w14:textId="77777777" w:rsidR="00967434" w:rsidRDefault="00967434" w:rsidP="00716B3C">
            <w:pPr>
              <w:rPr>
                <w:b/>
              </w:rPr>
            </w:pPr>
            <w:r>
              <w:rPr>
                <w:b/>
                <w:sz w:val="32"/>
              </w:rPr>
              <w:t>3</w:t>
            </w:r>
            <w:r w:rsidRPr="000F15D7">
              <w:rPr>
                <w:b/>
                <w:sz w:val="32"/>
              </w:rPr>
              <w:t>. Teachers Only</w:t>
            </w:r>
          </w:p>
        </w:tc>
      </w:tr>
      <w:tr w:rsidR="00967434" w14:paraId="6FDDD9D2" w14:textId="77777777" w:rsidTr="00716B3C">
        <w:tc>
          <w:tcPr>
            <w:tcW w:w="5093" w:type="dxa"/>
            <w:gridSpan w:val="3"/>
            <w:vAlign w:val="center"/>
          </w:tcPr>
          <w:p w14:paraId="32778648" w14:textId="77777777" w:rsidR="00967434" w:rsidRDefault="00967434" w:rsidP="00716B3C">
            <w:pPr>
              <w:rPr>
                <w:b/>
              </w:rPr>
            </w:pPr>
            <w:r>
              <w:rPr>
                <w:b/>
              </w:rPr>
              <w:t>Teacher Reference Number:</w:t>
            </w:r>
          </w:p>
        </w:tc>
        <w:tc>
          <w:tcPr>
            <w:tcW w:w="5101" w:type="dxa"/>
            <w:gridSpan w:val="3"/>
          </w:tcPr>
          <w:p w14:paraId="2E675020" w14:textId="77777777" w:rsidR="00967434" w:rsidRDefault="00967434" w:rsidP="00716B3C">
            <w:pPr>
              <w:rPr>
                <w:b/>
              </w:rPr>
            </w:pPr>
          </w:p>
          <w:p w14:paraId="4C79988B" w14:textId="77777777" w:rsidR="00967434" w:rsidRDefault="00967434" w:rsidP="00716B3C">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716B3C">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716B3C">
            <w:pPr>
              <w:rPr>
                <w:b/>
              </w:rPr>
            </w:pPr>
            <w:r>
              <w:rPr>
                <w:b/>
              </w:rPr>
              <w:t>Yes/ No</w:t>
            </w:r>
          </w:p>
        </w:tc>
        <w:tc>
          <w:tcPr>
            <w:tcW w:w="1695" w:type="dxa"/>
            <w:tcBorders>
              <w:bottom w:val="single" w:sz="4" w:space="0" w:color="auto"/>
            </w:tcBorders>
          </w:tcPr>
          <w:p w14:paraId="1B92794B" w14:textId="77777777" w:rsidR="00967434" w:rsidRDefault="00967434" w:rsidP="00716B3C">
            <w:pPr>
              <w:rPr>
                <w:b/>
              </w:rPr>
            </w:pPr>
            <w:r>
              <w:rPr>
                <w:b/>
              </w:rPr>
              <w:t>Date:</w:t>
            </w:r>
          </w:p>
        </w:tc>
        <w:tc>
          <w:tcPr>
            <w:tcW w:w="1715" w:type="dxa"/>
            <w:tcBorders>
              <w:bottom w:val="single" w:sz="4" w:space="0" w:color="auto"/>
            </w:tcBorders>
          </w:tcPr>
          <w:p w14:paraId="5D43E02D" w14:textId="77777777" w:rsidR="00967434" w:rsidRDefault="00967434" w:rsidP="00716B3C">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716B3C">
            <w:pPr>
              <w:rPr>
                <w:b/>
              </w:rPr>
            </w:pPr>
            <w:r>
              <w:rPr>
                <w:b/>
              </w:rPr>
              <w:t>Yes/ No</w:t>
            </w:r>
          </w:p>
        </w:tc>
        <w:tc>
          <w:tcPr>
            <w:tcW w:w="1695" w:type="dxa"/>
            <w:tcBorders>
              <w:bottom w:val="single" w:sz="4" w:space="0" w:color="auto"/>
            </w:tcBorders>
          </w:tcPr>
          <w:p w14:paraId="5269E438" w14:textId="77777777" w:rsidR="00967434" w:rsidRDefault="00967434" w:rsidP="00716B3C">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6"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17741CCE"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4F712590" w14:textId="338F1FC9" w:rsidR="00FF75CE" w:rsidRDefault="000B1261" w:rsidP="00FF75CE">
            <w:pPr>
              <w:jc w:val="center"/>
              <w:rPr>
                <w:b/>
              </w:rPr>
            </w:pPr>
            <w:r>
              <w:rPr>
                <w:b/>
              </w:rPr>
              <w:t xml:space="preserve">Please return to us </w:t>
            </w:r>
            <w:r w:rsidR="00FF75CE">
              <w:rPr>
                <w:b/>
              </w:rPr>
              <w:t xml:space="preserve">via email </w:t>
            </w:r>
            <w:r w:rsidR="00A763F8">
              <w:rPr>
                <w:b/>
              </w:rPr>
              <w:t>–</w:t>
            </w:r>
            <w:r w:rsidR="00FF75CE">
              <w:rPr>
                <w:b/>
              </w:rPr>
              <w:t xml:space="preserve"> </w:t>
            </w:r>
            <w:bookmarkStart w:id="0" w:name="_GoBack"/>
            <w:bookmarkEnd w:id="0"/>
            <w:r w:rsidR="00A763F8">
              <w:rPr>
                <w:b/>
              </w:rPr>
              <w:fldChar w:fldCharType="begin"/>
            </w:r>
            <w:r w:rsidR="00A763F8">
              <w:rPr>
                <w:b/>
              </w:rPr>
              <w:instrText xml:space="preserve"> HYPERLINK "mailto:</w:instrText>
            </w:r>
            <w:r w:rsidR="00A763F8" w:rsidRPr="00A763F8">
              <w:rPr>
                <w:b/>
              </w:rPr>
              <w:instrText>a.newport@kingdavidliverpool.co.uk</w:instrText>
            </w:r>
            <w:r w:rsidR="00A763F8">
              <w:rPr>
                <w:b/>
              </w:rPr>
              <w:instrText xml:space="preserve">" </w:instrText>
            </w:r>
            <w:r w:rsidR="00A763F8">
              <w:rPr>
                <w:b/>
              </w:rPr>
              <w:fldChar w:fldCharType="separate"/>
            </w:r>
            <w:r w:rsidR="00A763F8" w:rsidRPr="006633DD">
              <w:rPr>
                <w:rStyle w:val="Hyperlink"/>
                <w:b/>
              </w:rPr>
              <w:t>a.newport@kingdavidliverpool.co.uk</w:t>
            </w:r>
            <w:r w:rsidR="00A763F8">
              <w:rPr>
                <w:b/>
              </w:rPr>
              <w:fldChar w:fldCharType="end"/>
            </w:r>
            <w:r w:rsidR="00FF75CE">
              <w:rPr>
                <w:b/>
              </w:rPr>
              <w:t xml:space="preserve"> </w:t>
            </w:r>
          </w:p>
          <w:p w14:paraId="42BAE871" w14:textId="77777777" w:rsidR="00FF75CE" w:rsidRDefault="00FF75CE" w:rsidP="00ED2B60">
            <w:pPr>
              <w:jc w:val="center"/>
              <w:rPr>
                <w:b/>
              </w:rPr>
            </w:pPr>
          </w:p>
          <w:p w14:paraId="0D5E7C20" w14:textId="77777777" w:rsidR="00FF75CE" w:rsidRDefault="00FF75CE" w:rsidP="00ED2B60">
            <w:pPr>
              <w:jc w:val="center"/>
              <w:rPr>
                <w:b/>
              </w:rPr>
            </w:pPr>
          </w:p>
          <w:p w14:paraId="7CCC94B0" w14:textId="77777777" w:rsidR="00FF75CE" w:rsidRDefault="00FF75CE" w:rsidP="00ED2B60">
            <w:pPr>
              <w:jc w:val="center"/>
              <w:rPr>
                <w:b/>
                <w:color w:val="FF0000"/>
              </w:rPr>
            </w:pP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7"/>
      <w:footerReference w:type="first" r:id="rId18"/>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BD873" w14:textId="77777777" w:rsidR="00716B3C" w:rsidRDefault="00716B3C" w:rsidP="000F15D7">
      <w:pPr>
        <w:spacing w:line="240" w:lineRule="auto"/>
      </w:pPr>
      <w:r>
        <w:separator/>
      </w:r>
    </w:p>
  </w:endnote>
  <w:endnote w:type="continuationSeparator" w:id="0">
    <w:p w14:paraId="5EF92E2F" w14:textId="77777777" w:rsidR="00716B3C" w:rsidRDefault="00716B3C"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6D42BFFC" w:rsidR="00716B3C" w:rsidRPr="002A321F" w:rsidRDefault="00716B3C">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A763F8">
              <w:rPr>
                <w:rFonts w:cstheme="minorHAnsi"/>
                <w:b/>
                <w:bCs/>
                <w:noProof/>
                <w:sz w:val="18"/>
                <w:szCs w:val="18"/>
              </w:rPr>
              <w:t>9</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A763F8">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716B3C" w:rsidRDefault="00716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48C" w14:textId="77777777" w:rsidR="00716B3C" w:rsidRDefault="00716B3C">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5319" w14:textId="77777777" w:rsidR="00716B3C" w:rsidRDefault="00716B3C" w:rsidP="000F15D7">
      <w:pPr>
        <w:spacing w:line="240" w:lineRule="auto"/>
      </w:pPr>
      <w:r>
        <w:separator/>
      </w:r>
    </w:p>
  </w:footnote>
  <w:footnote w:type="continuationSeparator" w:id="0">
    <w:p w14:paraId="3B736517" w14:textId="77777777" w:rsidR="00716B3C" w:rsidRDefault="00716B3C"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342469"/>
    <w:rsid w:val="00346256"/>
    <w:rsid w:val="00374EFE"/>
    <w:rsid w:val="003C7A81"/>
    <w:rsid w:val="003D7812"/>
    <w:rsid w:val="00405758"/>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6B62FD"/>
    <w:rsid w:val="0070252C"/>
    <w:rsid w:val="00716B3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E1028"/>
    <w:rsid w:val="008E4CED"/>
    <w:rsid w:val="008F413D"/>
    <w:rsid w:val="00926195"/>
    <w:rsid w:val="0093064A"/>
    <w:rsid w:val="00943061"/>
    <w:rsid w:val="0094795A"/>
    <w:rsid w:val="00967434"/>
    <w:rsid w:val="009940EF"/>
    <w:rsid w:val="009C1F1F"/>
    <w:rsid w:val="00A1032F"/>
    <w:rsid w:val="00A137AF"/>
    <w:rsid w:val="00A236AC"/>
    <w:rsid w:val="00A3045D"/>
    <w:rsid w:val="00A41D5F"/>
    <w:rsid w:val="00A763F8"/>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6CE4"/>
    <w:rsid w:val="00EE7AB7"/>
    <w:rsid w:val="00F34591"/>
    <w:rsid w:val="00F65ED4"/>
    <w:rsid w:val="00F724B2"/>
    <w:rsid w:val="00FA7E3D"/>
    <w:rsid w:val="00FB111E"/>
    <w:rsid w:val="00FE4C41"/>
    <w:rsid w:val="00FF04A7"/>
    <w:rsid w:val="00FF7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b.unlock.org.uk/contac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webSettings" Target="web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001B4-E048-4B53-B44C-49A2AEC4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Annie Newport</cp:lastModifiedBy>
  <cp:revision>4</cp:revision>
  <cp:lastPrinted>2019-08-21T13:58:00Z</cp:lastPrinted>
  <dcterms:created xsi:type="dcterms:W3CDTF">2021-11-22T14:05:00Z</dcterms:created>
  <dcterms:modified xsi:type="dcterms:W3CDTF">2022-11-28T09:53:00Z</dcterms:modified>
</cp:coreProperties>
</file>