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276"/>
        <w:gridCol w:w="3816"/>
      </w:tblGrid>
      <w:tr w:rsidR="00ED2B60" w:rsidRPr="00140A3E" w14:paraId="0F9E75E6" w14:textId="77777777" w:rsidTr="00BF20DB">
        <w:trPr>
          <w:trHeight w:val="836"/>
        </w:trPr>
        <w:tc>
          <w:tcPr>
            <w:tcW w:w="3287" w:type="dxa"/>
          </w:tcPr>
          <w:p w14:paraId="3A0065A6" w14:textId="78BD6B52" w:rsidR="009E3C50" w:rsidRDefault="009E3C50" w:rsidP="009E3C50">
            <w:pPr>
              <w:jc w:val="center"/>
            </w:pPr>
            <w:r>
              <w:rPr>
                <w:b/>
                <w:noProof/>
              </w:rPr>
              <w:drawing>
                <wp:anchor distT="0" distB="0" distL="114300" distR="114300" simplePos="0" relativeHeight="251658240" behindDoc="1" locked="0" layoutInCell="1" allowOverlap="0" wp14:anchorId="27D48CF3" wp14:editId="100BC756">
                  <wp:simplePos x="0" y="0"/>
                  <wp:positionH relativeFrom="column">
                    <wp:posOffset>478790</wp:posOffset>
                  </wp:positionH>
                  <wp:positionV relativeFrom="paragraph">
                    <wp:posOffset>213995</wp:posOffset>
                  </wp:positionV>
                  <wp:extent cx="944880" cy="985902"/>
                  <wp:effectExtent l="0" t="0" r="7620" b="5080"/>
                  <wp:wrapTight wrapText="bothSides">
                    <wp:wrapPolygon edited="0">
                      <wp:start x="0" y="0"/>
                      <wp:lineTo x="0" y="21294"/>
                      <wp:lineTo x="21339" y="21294"/>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859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07D5A" w14:textId="77777777" w:rsidR="009E3C50" w:rsidRDefault="009E3C50" w:rsidP="009E3C50">
            <w:pPr>
              <w:jc w:val="center"/>
            </w:pPr>
          </w:p>
          <w:p w14:paraId="532EB736" w14:textId="77777777" w:rsidR="009E3C50" w:rsidRDefault="009E3C50" w:rsidP="009E3C50">
            <w:pPr>
              <w:jc w:val="center"/>
            </w:pPr>
          </w:p>
          <w:p w14:paraId="6493274D" w14:textId="77777777" w:rsidR="009E3C50" w:rsidRDefault="009E3C50" w:rsidP="009E3C50">
            <w:pPr>
              <w:jc w:val="center"/>
            </w:pPr>
          </w:p>
          <w:p w14:paraId="49B4C934" w14:textId="77777777" w:rsidR="009E3C50" w:rsidRDefault="009E3C50" w:rsidP="009E3C50">
            <w:pPr>
              <w:jc w:val="center"/>
            </w:pPr>
          </w:p>
          <w:p w14:paraId="50CA376F" w14:textId="77777777" w:rsidR="009E3C50" w:rsidRDefault="009E3C50" w:rsidP="009E3C50">
            <w:pPr>
              <w:jc w:val="center"/>
            </w:pPr>
          </w:p>
          <w:p w14:paraId="4DB86381" w14:textId="3797ACBA" w:rsidR="009E3C50" w:rsidRPr="00A3045D" w:rsidRDefault="009E3C50" w:rsidP="009E3C50">
            <w:pPr>
              <w:jc w:val="center"/>
            </w:pPr>
          </w:p>
        </w:tc>
        <w:tc>
          <w:tcPr>
            <w:tcW w:w="3514" w:type="dxa"/>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112A42D2" w:rsidR="000755A0" w:rsidRDefault="009E3C50" w:rsidP="00F724B2">
            <w:pPr>
              <w:jc w:val="center"/>
              <w:rPr>
                <w:b/>
                <w:noProof/>
                <w:lang w:eastAsia="en-GB"/>
              </w:rPr>
            </w:pPr>
            <w:r>
              <w:rPr>
                <w:b/>
                <w:noProof/>
                <w:lang w:eastAsia="en-GB"/>
              </w:rPr>
              <w:t>Application For Employment</w:t>
            </w: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A482A18"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71506AF2"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9E3C50">
              <w:rPr>
                <w:rFonts w:asciiTheme="minorHAnsi" w:hAnsiTheme="minorHAnsi" w:cstheme="minorHAnsi"/>
                <w:color w:val="231F20"/>
                <w:sz w:val="22"/>
                <w:szCs w:val="22"/>
              </w:rPr>
              <w:t>St John’s Catholic Primary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27FFCE3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In order to</w:t>
            </w:r>
            <w:proofErr w:type="gramEnd"/>
            <w:r w:rsidRPr="00FE4C41">
              <w:rPr>
                <w:rFonts w:asciiTheme="minorHAnsi" w:hAnsiTheme="minorHAnsi" w:cstheme="minorHAnsi"/>
                <w:color w:val="231F20"/>
                <w:sz w:val="22"/>
                <w:szCs w:val="22"/>
              </w:rPr>
              <w:t xml:space="preserve">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9E3C50">
              <w:rPr>
                <w:rFonts w:asciiTheme="minorHAnsi" w:hAnsiTheme="minorHAnsi" w:cstheme="minorHAnsi"/>
                <w:color w:val="231F20"/>
                <w:sz w:val="22"/>
                <w:szCs w:val="22"/>
              </w:rPr>
              <w:t>St John’s Catholic Primary School</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7A81407A"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9E3C50">
              <w:rPr>
                <w:rFonts w:asciiTheme="minorHAnsi" w:hAnsiTheme="minorHAnsi" w:cstheme="minorHAnsi"/>
                <w:color w:val="231F20"/>
                <w:sz w:val="22"/>
                <w:szCs w:val="22"/>
              </w:rPr>
              <w:t>St John’s Catholic Primary School</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Yes  /</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 xml:space="preserve">please </w:t>
            </w:r>
            <w:proofErr w:type="gramStart"/>
            <w:r w:rsidR="00943061" w:rsidRPr="00943061">
              <w:rPr>
                <w:rFonts w:asciiTheme="minorHAnsi" w:eastAsia="MS Gothic" w:hAnsiTheme="minorHAnsi" w:cstheme="minorHAnsi"/>
                <w:szCs w:val="20"/>
                <w:lang w:val="en-GB"/>
              </w:rPr>
              <w:t>delete)</w:t>
            </w:r>
            <w:r w:rsidR="00943061">
              <w:rPr>
                <w:rFonts w:asciiTheme="minorHAnsi" w:eastAsia="MS Gothic" w:hAnsiTheme="minorHAnsi" w:cstheme="minorHAnsi"/>
                <w:szCs w:val="20"/>
                <w:lang w:val="en-GB"/>
              </w:rPr>
              <w:t xml:space="preserve">   </w:t>
            </w:r>
            <w:proofErr w:type="gramEnd"/>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2AA3F6C6" w14:textId="2EC2EB45" w:rsidR="00926195" w:rsidRPr="002A321F" w:rsidRDefault="00926195" w:rsidP="000755A0">
            <w:pPr>
              <w:pStyle w:val="1bodycopy"/>
              <w:spacing w:after="0"/>
              <w:rPr>
                <w:rFonts w:asciiTheme="minorHAnsi" w:hAnsiTheme="minorHAnsi" w:cstheme="minorHAnsi"/>
                <w:color w:val="FF0000"/>
              </w:rPr>
            </w:pPr>
          </w:p>
          <w:p w14:paraId="6F3EC44C" w14:textId="77777777" w:rsidR="00FF04A7" w:rsidRPr="009E3C50" w:rsidRDefault="00FF04A7" w:rsidP="000755A0">
            <w:pPr>
              <w:pStyle w:val="1bodycopy"/>
              <w:spacing w:after="0"/>
              <w:rPr>
                <w:rFonts w:asciiTheme="minorHAnsi" w:hAnsiTheme="minorHAnsi" w:cstheme="minorHAnsi"/>
                <w:b/>
                <w:sz w:val="24"/>
                <w:u w:val="single"/>
              </w:rPr>
            </w:pPr>
            <w:r w:rsidRPr="009E3C50">
              <w:rPr>
                <w:rFonts w:asciiTheme="minorHAnsi" w:hAnsiTheme="minorHAnsi" w:cstheme="minorHAnsi"/>
                <w:b/>
                <w:sz w:val="24"/>
                <w:u w:val="single"/>
              </w:rPr>
              <w:t>Disqualification Under the Childcare Act</w:t>
            </w:r>
          </w:p>
          <w:p w14:paraId="55FD848E" w14:textId="77777777" w:rsidR="00926195" w:rsidRPr="009E3C50" w:rsidRDefault="00926195" w:rsidP="00926195">
            <w:pPr>
              <w:pStyle w:val="1bodycopy"/>
              <w:spacing w:before="120" w:after="0"/>
              <w:rPr>
                <w:rFonts w:asciiTheme="minorHAnsi" w:hAnsiTheme="minorHAnsi" w:cstheme="minorHAnsi"/>
              </w:rPr>
            </w:pPr>
            <w:r w:rsidRPr="009E3C50">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E3C50">
                <w:rPr>
                  <w:rStyle w:val="Hyperlink"/>
                  <w:rFonts w:asciiTheme="minorHAnsi" w:hAnsiTheme="minorHAnsi" w:cstheme="minorHAnsi"/>
                  <w:color w:val="auto"/>
                </w:rPr>
                <w:t>www.gov.uk/government/publications/disqualification-under-the-childcare-act-2006</w:t>
              </w:r>
            </w:hyperlink>
            <w:r w:rsidRPr="009E3C50">
              <w:rPr>
                <w:rFonts w:asciiTheme="minorHAnsi" w:hAnsiTheme="minorHAnsi" w:cstheme="minorHAnsi"/>
              </w:rPr>
              <w:t xml:space="preserve"> </w:t>
            </w:r>
          </w:p>
          <w:p w14:paraId="79D3199E" w14:textId="13046920" w:rsidR="000755A0" w:rsidRDefault="000755A0" w:rsidP="000755A0">
            <w:pPr>
              <w:pStyle w:val="1bodycopy"/>
              <w:spacing w:after="0"/>
              <w:rPr>
                <w:rFonts w:asciiTheme="minorHAnsi" w:hAnsiTheme="minorHAnsi" w:cstheme="minorHAnsi"/>
                <w:b/>
                <w:sz w:val="24"/>
                <w:u w:val="single"/>
              </w:rPr>
            </w:pPr>
          </w:p>
          <w:p w14:paraId="2B41A9B9" w14:textId="67733F50" w:rsidR="007F130A" w:rsidRDefault="007F130A" w:rsidP="000755A0">
            <w:pPr>
              <w:pStyle w:val="1bodycopy"/>
              <w:spacing w:after="0"/>
              <w:rPr>
                <w:rFonts w:asciiTheme="minorHAnsi" w:hAnsiTheme="minorHAnsi" w:cstheme="minorHAnsi"/>
                <w:b/>
                <w:sz w:val="24"/>
                <w:u w:val="single"/>
              </w:rPr>
            </w:pPr>
          </w:p>
          <w:p w14:paraId="4B50D69A" w14:textId="77777777" w:rsidR="007F130A" w:rsidRDefault="007F130A" w:rsidP="000755A0">
            <w:pPr>
              <w:pStyle w:val="1bodycopy"/>
              <w:spacing w:after="0"/>
              <w:rPr>
                <w:rFonts w:asciiTheme="minorHAnsi" w:hAnsiTheme="minorHAnsi" w:cstheme="minorHAnsi"/>
                <w:b/>
                <w:sz w:val="24"/>
                <w:u w:val="single"/>
              </w:rPr>
            </w:pPr>
          </w:p>
          <w:p w14:paraId="328AC107" w14:textId="77777777"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180988" w:rsidP="00926195">
            <w:pPr>
              <w:spacing w:before="120" w:line="240" w:lineRule="auto"/>
              <w:rPr>
                <w:b/>
              </w:rPr>
            </w:pPr>
            <w:hyperlink r:id="rId16" w:history="1">
              <w:r w:rsidRPr="002A321F">
                <w:rPr>
                  <w:rStyle w:val="Hyperlink"/>
                  <w:b/>
                </w:rPr>
                <w:t>https://www.gov.uk/government/collections/teacher-misconduct</w:t>
              </w:r>
            </w:hyperlink>
            <w:r w:rsidRPr="002A321F">
              <w:rPr>
                <w:b/>
              </w:rPr>
              <w:t xml:space="preserve"> </w:t>
            </w:r>
          </w:p>
          <w:p w14:paraId="14F142C9" w14:textId="40F33F32" w:rsidR="000755A0" w:rsidRPr="009E3C50" w:rsidRDefault="00926195" w:rsidP="009E3C50">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4ECC47BE" w:rsidR="00BF20DB"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0DE9110E" w14:textId="413FEF12" w:rsidR="009E3C50" w:rsidRDefault="009E3C50" w:rsidP="00926195">
            <w:pPr>
              <w:pStyle w:val="1bodycopy"/>
              <w:spacing w:before="120" w:after="0"/>
              <w:rPr>
                <w:rFonts w:asciiTheme="minorHAnsi" w:hAnsiTheme="minorHAnsi" w:cstheme="minorHAnsi"/>
                <w:b/>
                <w:szCs w:val="20"/>
                <w:lang w:val="en-GB"/>
              </w:rPr>
            </w:pPr>
          </w:p>
          <w:p w14:paraId="1FBB7DDD" w14:textId="77777777" w:rsidR="009E3C50" w:rsidRPr="00EC137F" w:rsidRDefault="009E3C50" w:rsidP="009E3C50">
            <w:pPr>
              <w:rPr>
                <w:rStyle w:val="Emphasis"/>
                <w:rFonts w:ascii="Lucida Bright" w:hAnsi="Lucida Bright" w:cs="Arial"/>
                <w:i/>
                <w:iCs/>
                <w:color w:val="000000"/>
                <w:sz w:val="24"/>
                <w:szCs w:val="24"/>
                <w:shd w:val="clear" w:color="auto" w:fill="F9FCFF"/>
              </w:rPr>
            </w:pPr>
            <w:hyperlink r:id="rId17" w:history="1">
              <w:r w:rsidRPr="00EC137F">
                <w:rPr>
                  <w:rStyle w:val="Hyperlink"/>
                  <w:rFonts w:ascii="Lucida Bright" w:hAnsi="Lucida Bright" w:cs="Arial"/>
                  <w:sz w:val="24"/>
                  <w:szCs w:val="24"/>
                </w:rPr>
                <w:t>Keeping Children Safe in Education</w:t>
              </w:r>
            </w:hyperlink>
            <w:r w:rsidRPr="00EC137F">
              <w:rPr>
                <w:rFonts w:ascii="Lucida Bright" w:hAnsi="Lucida Bright" w:cs="Arial"/>
                <w:b/>
                <w:bCs/>
                <w:sz w:val="24"/>
                <w:szCs w:val="24"/>
              </w:rPr>
              <w:t xml:space="preserve"> </w:t>
            </w:r>
            <w:r w:rsidRPr="00EC137F">
              <w:rPr>
                <w:rFonts w:ascii="Lucida Bright" w:hAnsi="Lucida Bright" w:cs="Arial"/>
                <w:sz w:val="24"/>
                <w:szCs w:val="24"/>
              </w:rPr>
              <w:t>states the need for schools to conduct an “</w:t>
            </w:r>
            <w:r w:rsidRPr="00EC137F">
              <w:rPr>
                <w:rFonts w:ascii="Lucida Bright" w:hAnsi="Lucida Bright" w:cs="Arial"/>
                <w:i/>
                <w:sz w:val="24"/>
                <w:szCs w:val="24"/>
              </w:rPr>
              <w:t>online search as part of their due diligence on the shortlisted candidates.</w:t>
            </w:r>
            <w:r w:rsidRPr="00EC137F">
              <w:rPr>
                <w:rFonts w:ascii="Lucida Bright" w:hAnsi="Lucida Bright" w:cs="Arial"/>
                <w:sz w:val="24"/>
                <w:szCs w:val="24"/>
              </w:rPr>
              <w:t>” The purpose of the online check is to help identify any incidents or issues that have happened, and are publicly available online, which</w:t>
            </w:r>
            <w:r w:rsidRPr="00EC137F">
              <w:rPr>
                <w:rFonts w:ascii="Lucida Bright" w:hAnsi="Lucida Bright" w:cs="Arial"/>
                <w:i/>
                <w:iCs/>
                <w:color w:val="000000"/>
                <w:sz w:val="24"/>
                <w:szCs w:val="24"/>
                <w:shd w:val="clear" w:color="auto" w:fill="F9FCFF"/>
              </w:rPr>
              <w:t xml:space="preserve"> </w:t>
            </w:r>
            <w:r w:rsidRPr="00EC137F">
              <w:rPr>
                <w:rFonts w:ascii="Lucida Bright" w:hAnsi="Lucida Bright" w:cs="Arial"/>
                <w:color w:val="000000"/>
                <w:sz w:val="24"/>
                <w:szCs w:val="24"/>
                <w:shd w:val="clear" w:color="auto" w:fill="F9FCFF"/>
              </w:rPr>
              <w:t>the school / setting might want to explore with the applicant at interview, to establish their suitability to work with children. Th</w:t>
            </w:r>
            <w:r w:rsidRPr="00EC137F">
              <w:rPr>
                <w:rFonts w:ascii="Lucida Bright" w:hAnsi="Lucida Bright" w:cs="Arial"/>
                <w:i/>
                <w:iCs/>
                <w:color w:val="000000"/>
                <w:sz w:val="24"/>
                <w:szCs w:val="24"/>
                <w:shd w:val="clear" w:color="auto" w:fill="F9FCFF"/>
              </w:rPr>
              <w:t xml:space="preserve">e </w:t>
            </w:r>
            <w:r w:rsidRPr="00EC137F">
              <w:rPr>
                <w:rFonts w:ascii="Lucida Bright" w:hAnsi="Lucida Bright" w:cs="Arial"/>
                <w:color w:val="000000"/>
                <w:sz w:val="24"/>
                <w:szCs w:val="24"/>
                <w:shd w:val="clear" w:color="auto" w:fill="F9FCFF"/>
              </w:rPr>
              <w:t>online check forms are one part of the school’s pre-employment checks process.</w:t>
            </w:r>
          </w:p>
          <w:p w14:paraId="3B59BF07" w14:textId="77777777" w:rsidR="009E3C50" w:rsidRPr="0094795A" w:rsidRDefault="009E3C50" w:rsidP="00926195">
            <w:pPr>
              <w:pStyle w:val="1bodycopy"/>
              <w:spacing w:before="120" w:after="0"/>
              <w:rPr>
                <w:rFonts w:asciiTheme="minorHAnsi" w:hAnsiTheme="minorHAnsi" w:cstheme="minorHAnsi"/>
                <w:b/>
                <w:szCs w:val="20"/>
                <w:lang w:val="en-GB"/>
              </w:rPr>
            </w:pP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73C2CDF9" w:rsidR="00943061" w:rsidRPr="00943061" w:rsidRDefault="00AE06E3" w:rsidP="00AE06E3">
            <w:pPr>
              <w:jc w:val="center"/>
              <w:rPr>
                <w:b/>
                <w:color w:val="FF0000"/>
              </w:rPr>
            </w:pPr>
            <w:r>
              <w:rPr>
                <w:b/>
                <w:noProof/>
              </w:rPr>
              <w:lastRenderedPageBreak/>
              <w:drawing>
                <wp:anchor distT="0" distB="0" distL="114300" distR="114300" simplePos="0" relativeHeight="251660288" behindDoc="1" locked="0" layoutInCell="1" allowOverlap="0" wp14:anchorId="0EE14558" wp14:editId="03FB04CA">
                  <wp:simplePos x="0" y="0"/>
                  <wp:positionH relativeFrom="column">
                    <wp:posOffset>628650</wp:posOffset>
                  </wp:positionH>
                  <wp:positionV relativeFrom="paragraph">
                    <wp:posOffset>252095</wp:posOffset>
                  </wp:positionV>
                  <wp:extent cx="944880" cy="985902"/>
                  <wp:effectExtent l="0" t="0" r="7620" b="5080"/>
                  <wp:wrapTight wrapText="bothSides">
                    <wp:wrapPolygon edited="0">
                      <wp:start x="0" y="0"/>
                      <wp:lineTo x="0" y="21294"/>
                      <wp:lineTo x="21339" y="21294"/>
                      <wp:lineTo x="213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85902"/>
                          </a:xfrm>
                          <a:prstGeom prst="rect">
                            <a:avLst/>
                          </a:prstGeom>
                          <a:noFill/>
                          <a:ln>
                            <a:noFill/>
                          </a:ln>
                        </pic:spPr>
                      </pic:pic>
                    </a:graphicData>
                  </a:graphic>
                  <wp14:sizeRelH relativeFrom="page">
                    <wp14:pctWidth>0</wp14:pctWidth>
                  </wp14:sizeRelH>
                  <wp14:sizeRelV relativeFrom="page">
                    <wp14:pctHeight>0</wp14:pctHeight>
                  </wp14:sizeRelV>
                </wp:anchor>
              </w:drawing>
            </w:r>
            <w:r w:rsidR="00BF20DB">
              <w:rPr>
                <w:b/>
              </w:rPr>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CBFF436" w:rsidR="000755A0" w:rsidRDefault="00AE06E3" w:rsidP="00AE06E3">
            <w:pPr>
              <w:jc w:val="center"/>
              <w:rPr>
                <w:b/>
              </w:rPr>
            </w:pPr>
            <w:r w:rsidRPr="002A321F">
              <w:rPr>
                <w:b/>
                <w:sz w:val="40"/>
                <w:szCs w:val="40"/>
              </w:rPr>
              <w:t>APPLICATION FOR EMPLOYMENT</w:t>
            </w:r>
          </w:p>
          <w:p w14:paraId="6FAE5C97" w14:textId="77777777" w:rsidR="000755A0" w:rsidRDefault="000755A0">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113ADF55" w:rsidR="006A3EF1" w:rsidRDefault="000B1261" w:rsidP="00ED2B60">
            <w:pPr>
              <w:jc w:val="center"/>
              <w:rPr>
                <w:b/>
                <w:color w:val="FF0000"/>
              </w:rPr>
            </w:pPr>
            <w:r>
              <w:rPr>
                <w:b/>
              </w:rPr>
              <w:t>Please return to us via</w:t>
            </w:r>
            <w:r w:rsidR="00867490">
              <w:rPr>
                <w:b/>
              </w:rPr>
              <w:t xml:space="preserve">:   </w:t>
            </w:r>
            <w:r w:rsidR="002D45BF">
              <w:rPr>
                <w:b/>
              </w:rPr>
              <w:t>nicola.evans@liverpool.gov.uk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197B" w14:textId="77777777" w:rsidR="001F4CF0" w:rsidRDefault="001F4CF0" w:rsidP="000F15D7">
      <w:pPr>
        <w:spacing w:line="240" w:lineRule="auto"/>
      </w:pPr>
      <w:r>
        <w:separator/>
      </w:r>
    </w:p>
  </w:endnote>
  <w:endnote w:type="continuationSeparator" w:id="0">
    <w:p w14:paraId="451A9457" w14:textId="77777777" w:rsidR="001F4CF0" w:rsidRDefault="001F4CF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05629AF0"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DA377F">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DA377F">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F0C3" w14:textId="77777777" w:rsidR="001F4CF0" w:rsidRDefault="001F4CF0" w:rsidP="000F15D7">
      <w:pPr>
        <w:spacing w:line="240" w:lineRule="auto"/>
      </w:pPr>
      <w:r>
        <w:separator/>
      </w:r>
    </w:p>
  </w:footnote>
  <w:footnote w:type="continuationSeparator" w:id="0">
    <w:p w14:paraId="697AF5C1" w14:textId="77777777" w:rsidR="001F4CF0" w:rsidRDefault="001F4CF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2823131">
    <w:abstractNumId w:val="2"/>
  </w:num>
  <w:num w:numId="2" w16cid:durableId="1096367307">
    <w:abstractNumId w:val="1"/>
  </w:num>
  <w:num w:numId="3" w16cid:durableId="8600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60D2C"/>
    <w:rsid w:val="00180988"/>
    <w:rsid w:val="00197F9D"/>
    <w:rsid w:val="001A2C3C"/>
    <w:rsid w:val="001D1AA5"/>
    <w:rsid w:val="001F4CF0"/>
    <w:rsid w:val="00207F8E"/>
    <w:rsid w:val="00216253"/>
    <w:rsid w:val="00223D31"/>
    <w:rsid w:val="0022509D"/>
    <w:rsid w:val="002423A0"/>
    <w:rsid w:val="002544C4"/>
    <w:rsid w:val="002A321F"/>
    <w:rsid w:val="002D01CF"/>
    <w:rsid w:val="002D45BF"/>
    <w:rsid w:val="00342469"/>
    <w:rsid w:val="00346256"/>
    <w:rsid w:val="00374EFE"/>
    <w:rsid w:val="003C7A81"/>
    <w:rsid w:val="003D7812"/>
    <w:rsid w:val="00405758"/>
    <w:rsid w:val="00431B0C"/>
    <w:rsid w:val="00464306"/>
    <w:rsid w:val="00465938"/>
    <w:rsid w:val="004C106C"/>
    <w:rsid w:val="004E5320"/>
    <w:rsid w:val="00511EBF"/>
    <w:rsid w:val="00527E33"/>
    <w:rsid w:val="00546625"/>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7F130A"/>
    <w:rsid w:val="008130DF"/>
    <w:rsid w:val="00867490"/>
    <w:rsid w:val="0087515A"/>
    <w:rsid w:val="00881619"/>
    <w:rsid w:val="00897401"/>
    <w:rsid w:val="008B5877"/>
    <w:rsid w:val="008B6D8B"/>
    <w:rsid w:val="008C60E3"/>
    <w:rsid w:val="008C761F"/>
    <w:rsid w:val="008E1028"/>
    <w:rsid w:val="008E4CED"/>
    <w:rsid w:val="00926195"/>
    <w:rsid w:val="0093064A"/>
    <w:rsid w:val="00943061"/>
    <w:rsid w:val="0094795A"/>
    <w:rsid w:val="00950900"/>
    <w:rsid w:val="00967434"/>
    <w:rsid w:val="009940EF"/>
    <w:rsid w:val="00997660"/>
    <w:rsid w:val="009C1F1F"/>
    <w:rsid w:val="009E3C50"/>
    <w:rsid w:val="00A1032F"/>
    <w:rsid w:val="00A137AF"/>
    <w:rsid w:val="00A236AC"/>
    <w:rsid w:val="00A3045D"/>
    <w:rsid w:val="00A41D5F"/>
    <w:rsid w:val="00A94B5B"/>
    <w:rsid w:val="00AA77F0"/>
    <w:rsid w:val="00AB5AFC"/>
    <w:rsid w:val="00AE06E3"/>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27525"/>
    <w:rsid w:val="00D76953"/>
    <w:rsid w:val="00D85C36"/>
    <w:rsid w:val="00D9495A"/>
    <w:rsid w:val="00DA377F"/>
    <w:rsid w:val="00DC16AC"/>
    <w:rsid w:val="00E17322"/>
    <w:rsid w:val="00E63CB7"/>
    <w:rsid w:val="00E656C0"/>
    <w:rsid w:val="00E669A2"/>
    <w:rsid w:val="00E7170A"/>
    <w:rsid w:val="00E75D2D"/>
    <w:rsid w:val="00E82440"/>
    <w:rsid w:val="00E84960"/>
    <w:rsid w:val="00E85C32"/>
    <w:rsid w:val="00E95C59"/>
    <w:rsid w:val="00ED2B60"/>
    <w:rsid w:val="00ED79F5"/>
    <w:rsid w:val="00EE7AB7"/>
    <w:rsid w:val="00EF41B4"/>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Emphasis">
    <w:name w:val="Emphasis"/>
    <w:uiPriority w:val="20"/>
    <w:qFormat/>
    <w:rsid w:val="009E3C50"/>
    <w:rPr>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F87F-5C8B-4D74-BBD1-09726A80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Nicola Evans</cp:lastModifiedBy>
  <cp:revision>2</cp:revision>
  <cp:lastPrinted>2019-08-21T13:58:00Z</cp:lastPrinted>
  <dcterms:created xsi:type="dcterms:W3CDTF">2025-09-15T13:52:00Z</dcterms:created>
  <dcterms:modified xsi:type="dcterms:W3CDTF">2025-09-15T13:52:00Z</dcterms:modified>
</cp:coreProperties>
</file>